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27FB1" w14:textId="77777777" w:rsidR="000426B1" w:rsidRDefault="000426B1" w:rsidP="000426B1">
      <w:pPr>
        <w:jc w:val="center"/>
        <w:rPr>
          <w:b/>
          <w:bCs/>
          <w:color w:val="0070C0"/>
          <w:sz w:val="44"/>
          <w:szCs w:val="44"/>
        </w:rPr>
      </w:pPr>
    </w:p>
    <w:p w14:paraId="778AEAC6" w14:textId="77777777" w:rsidR="000426B1" w:rsidRDefault="000426B1" w:rsidP="000426B1">
      <w:pPr>
        <w:jc w:val="center"/>
        <w:rPr>
          <w:b/>
          <w:bCs/>
          <w:color w:val="0070C0"/>
          <w:sz w:val="44"/>
          <w:szCs w:val="44"/>
        </w:rPr>
      </w:pPr>
    </w:p>
    <w:p w14:paraId="44AA0D03" w14:textId="77777777" w:rsidR="00C11800" w:rsidRDefault="00C11800" w:rsidP="000426B1">
      <w:pPr>
        <w:jc w:val="center"/>
        <w:rPr>
          <w:b/>
          <w:bCs/>
          <w:color w:val="0070C0"/>
          <w:sz w:val="44"/>
          <w:szCs w:val="44"/>
        </w:rPr>
      </w:pPr>
    </w:p>
    <w:p w14:paraId="162C77C6" w14:textId="179984DE" w:rsidR="00EC3AC8" w:rsidRDefault="000426B1" w:rsidP="00C11800">
      <w:pPr>
        <w:spacing w:line="360" w:lineRule="auto"/>
        <w:jc w:val="center"/>
        <w:rPr>
          <w:b/>
          <w:bCs/>
          <w:color w:val="0070C0"/>
          <w:sz w:val="44"/>
          <w:szCs w:val="44"/>
        </w:rPr>
      </w:pPr>
      <w:r w:rsidRPr="000426B1">
        <w:rPr>
          <w:b/>
          <w:bCs/>
          <w:color w:val="0070C0"/>
          <w:sz w:val="44"/>
          <w:szCs w:val="44"/>
        </w:rPr>
        <w:t>POLITIQUE RELATIVE AUX CONFLITS D’INTERETS DE L’ONG COOPERATION POUR L’APPUI AU DEVELOPPEMENT INTEGRAL DU TOGO</w:t>
      </w:r>
    </w:p>
    <w:p w14:paraId="4422EC06" w14:textId="77777777" w:rsidR="000426B1" w:rsidRDefault="000426B1" w:rsidP="000426B1">
      <w:pPr>
        <w:jc w:val="center"/>
        <w:rPr>
          <w:b/>
          <w:bCs/>
          <w:color w:val="0070C0"/>
          <w:sz w:val="44"/>
          <w:szCs w:val="44"/>
        </w:rPr>
      </w:pPr>
    </w:p>
    <w:p w14:paraId="534DD358" w14:textId="77777777" w:rsidR="000426B1" w:rsidRDefault="000426B1" w:rsidP="000426B1">
      <w:pPr>
        <w:jc w:val="center"/>
        <w:rPr>
          <w:b/>
          <w:bCs/>
          <w:color w:val="0070C0"/>
          <w:sz w:val="44"/>
          <w:szCs w:val="44"/>
        </w:rPr>
      </w:pPr>
    </w:p>
    <w:p w14:paraId="1BAA9D6F" w14:textId="77777777" w:rsidR="000426B1" w:rsidRDefault="000426B1" w:rsidP="000426B1">
      <w:pPr>
        <w:jc w:val="center"/>
        <w:rPr>
          <w:b/>
          <w:bCs/>
          <w:color w:val="0070C0"/>
          <w:sz w:val="44"/>
          <w:szCs w:val="44"/>
        </w:rPr>
      </w:pPr>
    </w:p>
    <w:p w14:paraId="222A2651" w14:textId="77777777" w:rsidR="000426B1" w:rsidRDefault="000426B1" w:rsidP="000426B1">
      <w:pPr>
        <w:jc w:val="center"/>
        <w:rPr>
          <w:b/>
          <w:bCs/>
          <w:color w:val="0070C0"/>
          <w:sz w:val="44"/>
          <w:szCs w:val="44"/>
        </w:rPr>
      </w:pPr>
    </w:p>
    <w:p w14:paraId="72E1CCC1" w14:textId="77777777" w:rsidR="000426B1" w:rsidRDefault="000426B1" w:rsidP="000426B1">
      <w:pPr>
        <w:jc w:val="center"/>
        <w:rPr>
          <w:b/>
          <w:bCs/>
          <w:color w:val="0070C0"/>
          <w:sz w:val="44"/>
          <w:szCs w:val="44"/>
        </w:rPr>
      </w:pPr>
    </w:p>
    <w:p w14:paraId="4A0AC229" w14:textId="77777777" w:rsidR="000426B1" w:rsidRDefault="000426B1" w:rsidP="000426B1">
      <w:pPr>
        <w:jc w:val="center"/>
        <w:rPr>
          <w:b/>
          <w:bCs/>
          <w:color w:val="0070C0"/>
          <w:sz w:val="44"/>
          <w:szCs w:val="44"/>
        </w:rPr>
      </w:pPr>
    </w:p>
    <w:p w14:paraId="13D17D16" w14:textId="77777777" w:rsidR="000426B1" w:rsidRDefault="000426B1" w:rsidP="000426B1">
      <w:pPr>
        <w:jc w:val="center"/>
        <w:rPr>
          <w:b/>
          <w:bCs/>
          <w:color w:val="0070C0"/>
          <w:sz w:val="44"/>
          <w:szCs w:val="44"/>
        </w:rPr>
      </w:pPr>
    </w:p>
    <w:p w14:paraId="4AF43C1F" w14:textId="77777777" w:rsidR="000426B1" w:rsidRDefault="000426B1" w:rsidP="000426B1">
      <w:pPr>
        <w:jc w:val="center"/>
        <w:rPr>
          <w:b/>
          <w:bCs/>
          <w:color w:val="0070C0"/>
          <w:sz w:val="44"/>
          <w:szCs w:val="44"/>
        </w:rPr>
      </w:pPr>
    </w:p>
    <w:p w14:paraId="75806B32" w14:textId="77777777" w:rsidR="000426B1" w:rsidRDefault="000426B1" w:rsidP="000426B1">
      <w:pPr>
        <w:jc w:val="center"/>
        <w:rPr>
          <w:b/>
          <w:bCs/>
          <w:color w:val="0070C0"/>
          <w:sz w:val="44"/>
          <w:szCs w:val="44"/>
        </w:rPr>
      </w:pPr>
    </w:p>
    <w:p w14:paraId="5F30F235" w14:textId="77777777" w:rsidR="000426B1" w:rsidRDefault="000426B1" w:rsidP="000426B1">
      <w:pPr>
        <w:jc w:val="center"/>
        <w:rPr>
          <w:b/>
          <w:bCs/>
          <w:color w:val="0070C0"/>
          <w:sz w:val="44"/>
          <w:szCs w:val="44"/>
        </w:rPr>
      </w:pPr>
    </w:p>
    <w:p w14:paraId="759BCE1A" w14:textId="77777777" w:rsidR="000426B1" w:rsidRDefault="000426B1" w:rsidP="000426B1">
      <w:pPr>
        <w:jc w:val="center"/>
        <w:rPr>
          <w:b/>
          <w:bCs/>
          <w:color w:val="0070C0"/>
          <w:sz w:val="44"/>
          <w:szCs w:val="44"/>
        </w:rPr>
      </w:pPr>
    </w:p>
    <w:p w14:paraId="5753AB77" w14:textId="77777777" w:rsidR="000426B1" w:rsidRDefault="000426B1" w:rsidP="000426B1">
      <w:pPr>
        <w:jc w:val="center"/>
        <w:rPr>
          <w:b/>
          <w:bCs/>
          <w:color w:val="0070C0"/>
          <w:sz w:val="44"/>
          <w:szCs w:val="44"/>
        </w:rPr>
      </w:pPr>
    </w:p>
    <w:p w14:paraId="443C67A8" w14:textId="6900F680" w:rsidR="000426B1" w:rsidRPr="000426B1" w:rsidRDefault="000426B1" w:rsidP="000426B1">
      <w:pPr>
        <w:pStyle w:val="Titre1"/>
        <w:numPr>
          <w:ilvl w:val="0"/>
          <w:numId w:val="6"/>
        </w:numPr>
        <w:rPr>
          <w:b/>
          <w:bCs/>
        </w:rPr>
      </w:pPr>
      <w:r w:rsidRPr="000426B1">
        <w:rPr>
          <w:b/>
          <w:bCs/>
        </w:rPr>
        <w:lastRenderedPageBreak/>
        <w:t xml:space="preserve">Définition d’un conflit d’intérêts </w:t>
      </w:r>
    </w:p>
    <w:p w14:paraId="754B1F1A" w14:textId="77777777" w:rsidR="000426B1" w:rsidRDefault="000426B1" w:rsidP="000426B1">
      <w:pPr>
        <w:spacing w:after="113" w:line="267" w:lineRule="auto"/>
        <w:ind w:left="-5" w:hanging="10"/>
        <w:jc w:val="both"/>
      </w:pPr>
      <w:r>
        <w:rPr>
          <w:rFonts w:ascii="Calibri" w:eastAsia="Calibri" w:hAnsi="Calibri" w:cs="Calibri"/>
        </w:rPr>
        <w:t xml:space="preserve">Un conflit d’intérêts est défini comme une situation dans laquelle </w:t>
      </w:r>
      <w:r>
        <w:t xml:space="preserve">CADI-Togo </w:t>
      </w:r>
      <w:r>
        <w:rPr>
          <w:rFonts w:ascii="Calibri" w:eastAsia="Calibri" w:hAnsi="Calibri" w:cs="Calibri"/>
        </w:rPr>
        <w:t xml:space="preserve">ou l’un de ses collaborateurs ou l’un de ses délégataires de gestion se trouve impliqué dans des activités dont la réalisation peut porter atteinte aux intérêts des clients et compromettre l’indépendance, la loyauté, l’impartialité et l’objectivité attendues de cette personne dans la conduite de son activité personnelle ou professionnelle. </w:t>
      </w:r>
    </w:p>
    <w:p w14:paraId="5DF52EF1" w14:textId="77777777" w:rsidR="000426B1" w:rsidRDefault="000426B1" w:rsidP="000426B1">
      <w:pPr>
        <w:spacing w:after="158" w:line="267" w:lineRule="auto"/>
        <w:jc w:val="both"/>
      </w:pPr>
      <w:r>
        <w:rPr>
          <w:rFonts w:ascii="Calibri" w:eastAsia="Calibri" w:hAnsi="Calibri" w:cs="Calibri"/>
        </w:rPr>
        <w:t xml:space="preserve">Un conflit d’intérêts peut être réel ou potentiel. </w:t>
      </w:r>
    </w:p>
    <w:p w14:paraId="2216AF31" w14:textId="77777777" w:rsidR="000426B1" w:rsidRDefault="000426B1" w:rsidP="000426B1">
      <w:pPr>
        <w:numPr>
          <w:ilvl w:val="0"/>
          <w:numId w:val="1"/>
        </w:numPr>
        <w:spacing w:after="82" w:line="249" w:lineRule="auto"/>
        <w:ind w:hanging="360"/>
        <w:jc w:val="both"/>
      </w:pPr>
      <w:r>
        <w:rPr>
          <w:rFonts w:ascii="Calibri" w:eastAsia="Calibri" w:hAnsi="Calibri" w:cs="Calibri"/>
          <w:color w:val="262626"/>
        </w:rPr>
        <w:t xml:space="preserve">Conflits d’intérêts avérés </w:t>
      </w:r>
    </w:p>
    <w:p w14:paraId="5B4BA3E5" w14:textId="77777777" w:rsidR="000426B1" w:rsidRDefault="000426B1" w:rsidP="000426B1">
      <w:pPr>
        <w:spacing w:after="157" w:line="249" w:lineRule="auto"/>
        <w:jc w:val="both"/>
      </w:pPr>
      <w:r>
        <w:rPr>
          <w:rFonts w:ascii="Calibri" w:eastAsia="Calibri" w:hAnsi="Calibri" w:cs="Calibri"/>
          <w:color w:val="262626"/>
        </w:rPr>
        <w:t xml:space="preserve">Dans le cadre de la conduite des affaires ou en raison de toute autre circonstance impliquant les parties prenantes de l’entité, une situation se produit lorsque toutes les conditions sont remplies pour générer un conflit d’intérêts. À la suite d’analyses effectuées sur les intérêts en cause et les répercussions, fondées sur les faits et les preuves, il est conclu que le conflit s’est produit. </w:t>
      </w:r>
    </w:p>
    <w:p w14:paraId="7FDB71C3" w14:textId="77777777" w:rsidR="000426B1" w:rsidRDefault="000426B1" w:rsidP="000426B1">
      <w:pPr>
        <w:numPr>
          <w:ilvl w:val="0"/>
          <w:numId w:val="1"/>
        </w:numPr>
        <w:spacing w:after="82" w:line="249" w:lineRule="auto"/>
        <w:ind w:hanging="360"/>
        <w:jc w:val="both"/>
      </w:pPr>
      <w:r>
        <w:rPr>
          <w:rFonts w:ascii="Calibri" w:eastAsia="Calibri" w:hAnsi="Calibri" w:cs="Calibri"/>
          <w:color w:val="262626"/>
        </w:rPr>
        <w:t xml:space="preserve">Conflits d’intérêts potentiels </w:t>
      </w:r>
    </w:p>
    <w:p w14:paraId="20A8436C" w14:textId="77777777" w:rsidR="000426B1" w:rsidRDefault="000426B1" w:rsidP="000426B1">
      <w:pPr>
        <w:spacing w:after="111" w:line="249" w:lineRule="auto"/>
        <w:jc w:val="both"/>
      </w:pPr>
      <w:r>
        <w:rPr>
          <w:rFonts w:ascii="Calibri" w:eastAsia="Calibri" w:hAnsi="Calibri" w:cs="Calibri"/>
          <w:color w:val="262626"/>
        </w:rPr>
        <w:t>Dans le cadre de la conduite des a</w:t>
      </w:r>
      <w:r>
        <w:rPr>
          <w:color w:val="262626"/>
        </w:rPr>
        <w:t>ctivités</w:t>
      </w:r>
      <w:r>
        <w:rPr>
          <w:rFonts w:ascii="Calibri" w:eastAsia="Calibri" w:hAnsi="Calibri" w:cs="Calibri"/>
          <w:color w:val="262626"/>
        </w:rPr>
        <w:t xml:space="preserve"> ou en raison de toute autre circonstance impliquant les parties prenantes de l’entité, une situation se produit lorsque toutes les conditions sont remplies pour générer un conflit d’intérêts. À la suite d’analyses effectuées sur les intérêts en cause et les répercussions, fondées sur des faits et des preuves, il est conclu que le conflit n’a pas encore eu lieu et demeure potentiel. Selon l’évolution de la situation, le conflit d’intérêts peut devenir réel ou demeurer potentiel. </w:t>
      </w:r>
    </w:p>
    <w:p w14:paraId="722F4A31" w14:textId="77777777" w:rsidR="000426B1" w:rsidRDefault="000426B1" w:rsidP="000426B1">
      <w:pPr>
        <w:spacing w:after="158" w:line="267" w:lineRule="auto"/>
        <w:ind w:left="-5" w:hanging="10"/>
        <w:jc w:val="both"/>
      </w:pPr>
      <w:r>
        <w:rPr>
          <w:rFonts w:ascii="Calibri" w:eastAsia="Calibri" w:hAnsi="Calibri" w:cs="Calibri"/>
        </w:rPr>
        <w:t xml:space="preserve">Les conflits d’intérêts peuvent être classés en deux catégories : </w:t>
      </w:r>
    </w:p>
    <w:p w14:paraId="1B3E3057" w14:textId="77777777" w:rsidR="000426B1" w:rsidRDefault="000426B1" w:rsidP="000426B1">
      <w:pPr>
        <w:numPr>
          <w:ilvl w:val="0"/>
          <w:numId w:val="1"/>
        </w:numPr>
        <w:spacing w:after="82" w:line="249" w:lineRule="auto"/>
        <w:ind w:hanging="360"/>
        <w:jc w:val="both"/>
      </w:pPr>
      <w:r>
        <w:rPr>
          <w:rFonts w:ascii="Calibri" w:eastAsia="Calibri" w:hAnsi="Calibri" w:cs="Calibri"/>
          <w:color w:val="262626"/>
        </w:rPr>
        <w:t xml:space="preserve">Conflits d’intérêts transactionnels </w:t>
      </w:r>
    </w:p>
    <w:p w14:paraId="3BD13ADE" w14:textId="77777777" w:rsidR="000426B1" w:rsidRDefault="000426B1" w:rsidP="000426B1">
      <w:pPr>
        <w:spacing w:after="166" w:line="239" w:lineRule="auto"/>
        <w:ind w:left="708"/>
        <w:jc w:val="both"/>
      </w:pPr>
      <w:r>
        <w:rPr>
          <w:rFonts w:ascii="Calibri" w:eastAsia="Calibri" w:hAnsi="Calibri" w:cs="Calibri"/>
          <w:color w:val="262626"/>
        </w:rPr>
        <w:t xml:space="preserve">Dans ce cas, une situation de conflit d’intérêts est définie comme une situation dans laquelle des personnes physiques ou morales se trouvent, dans le cadre de l’activité de </w:t>
      </w:r>
      <w:r>
        <w:rPr>
          <w:color w:val="262626"/>
        </w:rPr>
        <w:t>CADI-Togo</w:t>
      </w:r>
      <w:r>
        <w:rPr>
          <w:rFonts w:ascii="Calibri" w:eastAsia="Calibri" w:hAnsi="Calibri" w:cs="Calibri"/>
          <w:color w:val="262626"/>
        </w:rPr>
        <w:t>, soumis à un certain nombre d’intérêts différents qui pourraient les amener à favoriser certains intérêts au détriment de ceux de clients ou de toute entité d</w:t>
      </w:r>
      <w:r>
        <w:rPr>
          <w:color w:val="262626"/>
        </w:rPr>
        <w:t>e l’Organisation</w:t>
      </w:r>
      <w:r>
        <w:rPr>
          <w:rFonts w:ascii="Calibri" w:eastAsia="Calibri" w:hAnsi="Calibri" w:cs="Calibri"/>
          <w:color w:val="262626"/>
        </w:rPr>
        <w:t xml:space="preserve">, et compromettre l’indépendance, la loyauté, l’impartialité et l’objectivité attendues de ces personnes dans la conduite de leurs activités personnelles ou professionnelles. </w:t>
      </w:r>
    </w:p>
    <w:p w14:paraId="64CC3881" w14:textId="77777777" w:rsidR="000426B1" w:rsidRDefault="000426B1" w:rsidP="000426B1">
      <w:pPr>
        <w:numPr>
          <w:ilvl w:val="0"/>
          <w:numId w:val="1"/>
        </w:numPr>
        <w:spacing w:after="82" w:line="249" w:lineRule="auto"/>
        <w:ind w:hanging="360"/>
        <w:jc w:val="both"/>
      </w:pPr>
      <w:r>
        <w:rPr>
          <w:rFonts w:ascii="Calibri" w:eastAsia="Calibri" w:hAnsi="Calibri" w:cs="Calibri"/>
          <w:color w:val="262626"/>
        </w:rPr>
        <w:t xml:space="preserve">Conflits d’intérêts personnels </w:t>
      </w:r>
    </w:p>
    <w:p w14:paraId="09A08F3F" w14:textId="77777777" w:rsidR="000426B1" w:rsidRDefault="000426B1" w:rsidP="000426B1">
      <w:pPr>
        <w:spacing w:after="109" w:line="249" w:lineRule="auto"/>
        <w:ind w:left="718" w:hanging="10"/>
        <w:jc w:val="both"/>
      </w:pPr>
      <w:r>
        <w:rPr>
          <w:rFonts w:ascii="Calibri" w:eastAsia="Calibri" w:hAnsi="Calibri" w:cs="Calibri"/>
          <w:color w:val="262626"/>
        </w:rPr>
        <w:t>Une situation dans laquelle le poste occupé par un individu</w:t>
      </w:r>
      <w:r>
        <w:rPr>
          <w:rStyle w:val="Appelnotedebasdep"/>
          <w:color w:val="262626"/>
        </w:rPr>
        <w:footnoteReference w:id="1"/>
      </w:r>
      <w:r>
        <w:rPr>
          <w:rFonts w:ascii="Calibri" w:eastAsia="Calibri" w:hAnsi="Calibri" w:cs="Calibri"/>
          <w:color w:val="262626"/>
        </w:rPr>
        <w:t xml:space="preserve"> dans </w:t>
      </w:r>
      <w:r>
        <w:rPr>
          <w:color w:val="262626"/>
        </w:rPr>
        <w:t>l’Organisation</w:t>
      </w:r>
      <w:r>
        <w:rPr>
          <w:rFonts w:ascii="Calibri" w:eastAsia="Calibri" w:hAnsi="Calibri" w:cs="Calibri"/>
          <w:color w:val="262626"/>
        </w:rPr>
        <w:t xml:space="preserve"> interfère avec son intérêt personnel et peut compromettre l’indépendance, la loyauté, l’impartialité et l’objectivité attendues de cette personne dans la conduite de ses activités professionnelles au sein de</w:t>
      </w:r>
      <w:r>
        <w:rPr>
          <w:color w:val="262626"/>
        </w:rPr>
        <w:t xml:space="preserve"> l’Organisation</w:t>
      </w:r>
      <w:r>
        <w:rPr>
          <w:rFonts w:ascii="Calibri" w:eastAsia="Calibri" w:hAnsi="Calibri" w:cs="Calibri"/>
          <w:color w:val="262626"/>
        </w:rPr>
        <w:t xml:space="preserve">. </w:t>
      </w:r>
    </w:p>
    <w:p w14:paraId="6FA42A51" w14:textId="77777777" w:rsidR="000426B1" w:rsidRPr="000426B1" w:rsidRDefault="000426B1" w:rsidP="000426B1">
      <w:pPr>
        <w:pStyle w:val="Titre1"/>
        <w:numPr>
          <w:ilvl w:val="0"/>
          <w:numId w:val="6"/>
        </w:numPr>
        <w:rPr>
          <w:b/>
          <w:bCs/>
        </w:rPr>
      </w:pPr>
      <w:r w:rsidRPr="000426B1">
        <w:rPr>
          <w:b/>
          <w:bCs/>
        </w:rPr>
        <w:t xml:space="preserve">Détection des situations de conflits d’intérêts </w:t>
      </w:r>
    </w:p>
    <w:p w14:paraId="07F85BBE" w14:textId="77777777" w:rsidR="000426B1" w:rsidRDefault="000426B1" w:rsidP="000426B1">
      <w:pPr>
        <w:spacing w:after="43" w:line="267" w:lineRule="auto"/>
        <w:jc w:val="both"/>
      </w:pPr>
      <w:r>
        <w:rPr>
          <w:rFonts w:ascii="Calibri" w:eastAsia="Calibri" w:hAnsi="Calibri" w:cs="Calibri"/>
        </w:rPr>
        <w:t xml:space="preserve">Conformément </w:t>
      </w:r>
      <w:r>
        <w:t xml:space="preserve">au </w:t>
      </w:r>
      <w:r>
        <w:rPr>
          <w:rFonts w:ascii="Calibri" w:eastAsia="Calibri" w:hAnsi="Calibri" w:cs="Calibri"/>
        </w:rPr>
        <w:t xml:space="preserve">Règlement Général de l’Autorité des Marchés, </w:t>
      </w:r>
      <w:r>
        <w:t xml:space="preserve">CADI-Togo </w:t>
      </w:r>
      <w:r>
        <w:rPr>
          <w:rFonts w:ascii="Calibri" w:eastAsia="Calibri" w:hAnsi="Calibri" w:cs="Calibri"/>
        </w:rPr>
        <w:t xml:space="preserve">a pris toutes les mesures raisonnables lui permettant de détecter les situations de conflits d’intérêts se posant lors de l’exercice de ses activités : </w:t>
      </w:r>
    </w:p>
    <w:p w14:paraId="5DE4344E" w14:textId="77777777" w:rsidR="000426B1" w:rsidRDefault="000426B1" w:rsidP="000426B1">
      <w:pPr>
        <w:numPr>
          <w:ilvl w:val="0"/>
          <w:numId w:val="2"/>
        </w:numPr>
        <w:spacing w:after="42" w:line="267" w:lineRule="auto"/>
        <w:ind w:hanging="360"/>
        <w:jc w:val="both"/>
      </w:pPr>
      <w:r>
        <w:rPr>
          <w:rFonts w:ascii="Calibri" w:eastAsia="Calibri" w:hAnsi="Calibri" w:cs="Calibri"/>
        </w:rPr>
        <w:lastRenderedPageBreak/>
        <w:t xml:space="preserve">soit entre elle-même, les personnes concernées ou toute personne directement ou indirectement liée à elle par une relation de contrôle d’une part et les </w:t>
      </w:r>
      <w:r>
        <w:t>prestataires</w:t>
      </w:r>
      <w:r>
        <w:rPr>
          <w:rFonts w:ascii="Calibri" w:eastAsia="Calibri" w:hAnsi="Calibri" w:cs="Calibri"/>
        </w:rPr>
        <w:t xml:space="preserve"> qu’elle gère</w:t>
      </w:r>
      <w:r>
        <w:t xml:space="preserve"> </w:t>
      </w:r>
      <w:r>
        <w:rPr>
          <w:rFonts w:ascii="Calibri" w:eastAsia="Calibri" w:hAnsi="Calibri" w:cs="Calibri"/>
        </w:rPr>
        <w:t xml:space="preserve">d’autre part ; </w:t>
      </w:r>
    </w:p>
    <w:p w14:paraId="16B77B97" w14:textId="77777777" w:rsidR="000426B1" w:rsidRDefault="000426B1" w:rsidP="000426B1">
      <w:pPr>
        <w:numPr>
          <w:ilvl w:val="0"/>
          <w:numId w:val="2"/>
        </w:numPr>
        <w:spacing w:after="129" w:line="267" w:lineRule="auto"/>
        <w:ind w:hanging="360"/>
        <w:jc w:val="both"/>
      </w:pPr>
      <w:r>
        <w:rPr>
          <w:rFonts w:ascii="Calibri" w:eastAsia="Calibri" w:hAnsi="Calibri" w:cs="Calibri"/>
        </w:rPr>
        <w:t xml:space="preserve">soit entre un </w:t>
      </w:r>
      <w:r>
        <w:t>partenaire</w:t>
      </w:r>
      <w:r>
        <w:rPr>
          <w:rFonts w:ascii="Calibri" w:eastAsia="Calibri" w:hAnsi="Calibri" w:cs="Calibri"/>
        </w:rPr>
        <w:t xml:space="preserve"> et un client. </w:t>
      </w:r>
    </w:p>
    <w:p w14:paraId="180D0EDF" w14:textId="77777777" w:rsidR="000426B1" w:rsidRDefault="000426B1" w:rsidP="000426B1">
      <w:pPr>
        <w:spacing w:after="187" w:line="267" w:lineRule="auto"/>
        <w:ind w:left="-5" w:hanging="10"/>
        <w:jc w:val="both"/>
      </w:pPr>
      <w:r>
        <w:rPr>
          <w:rFonts w:ascii="Calibri" w:eastAsia="Calibri" w:hAnsi="Calibri" w:cs="Calibri"/>
        </w:rPr>
        <w:t xml:space="preserve">Afin d’identifier les conflits potentiels qui peuvent survenir, </w:t>
      </w:r>
      <w:r>
        <w:t>CADI-Togo</w:t>
      </w:r>
      <w:r>
        <w:rPr>
          <w:rFonts w:ascii="Calibri" w:eastAsia="Calibri" w:hAnsi="Calibri" w:cs="Calibri"/>
        </w:rPr>
        <w:t xml:space="preserve"> examine si l</w:t>
      </w:r>
      <w:r>
        <w:t>a structure</w:t>
      </w:r>
      <w:r>
        <w:rPr>
          <w:rFonts w:ascii="Calibri" w:eastAsia="Calibri" w:hAnsi="Calibri" w:cs="Calibri"/>
        </w:rPr>
        <w:t>, ses salariés, ses prestataires de services, d’autres clients, ou d’autres entités d</w:t>
      </w:r>
      <w:r>
        <w:t>e CADI-Togo</w:t>
      </w:r>
      <w:r>
        <w:rPr>
          <w:rFonts w:ascii="Calibri" w:eastAsia="Calibri" w:hAnsi="Calibri" w:cs="Calibri"/>
        </w:rPr>
        <w:t xml:space="preserve"> : </w:t>
      </w:r>
    </w:p>
    <w:p w14:paraId="480051A2" w14:textId="77777777" w:rsidR="000426B1" w:rsidRDefault="000426B1" w:rsidP="000426B1">
      <w:pPr>
        <w:numPr>
          <w:ilvl w:val="0"/>
          <w:numId w:val="2"/>
        </w:numPr>
        <w:spacing w:after="43" w:line="267" w:lineRule="auto"/>
        <w:ind w:hanging="360"/>
        <w:jc w:val="both"/>
      </w:pPr>
      <w:r>
        <w:rPr>
          <w:rFonts w:ascii="Calibri" w:eastAsia="Calibri" w:hAnsi="Calibri" w:cs="Calibri"/>
        </w:rPr>
        <w:t xml:space="preserve">sont susceptibles de réaliser un gain financier ou d’éviter une perte financière aux dépens du </w:t>
      </w:r>
      <w:r>
        <w:t>bénéficiaire</w:t>
      </w:r>
      <w:r>
        <w:rPr>
          <w:rFonts w:ascii="Calibri" w:eastAsia="Calibri" w:hAnsi="Calibri" w:cs="Calibri"/>
        </w:rPr>
        <w:t xml:space="preserve"> ; </w:t>
      </w:r>
    </w:p>
    <w:p w14:paraId="4F489EC6" w14:textId="77777777" w:rsidR="000426B1" w:rsidRDefault="000426B1" w:rsidP="000426B1">
      <w:pPr>
        <w:numPr>
          <w:ilvl w:val="0"/>
          <w:numId w:val="2"/>
        </w:numPr>
        <w:spacing w:after="43" w:line="267" w:lineRule="auto"/>
        <w:ind w:hanging="360"/>
        <w:jc w:val="both"/>
      </w:pPr>
      <w:r>
        <w:rPr>
          <w:rFonts w:ascii="Calibri" w:eastAsia="Calibri" w:hAnsi="Calibri" w:cs="Calibri"/>
        </w:rPr>
        <w:t xml:space="preserve">ont un intérêt dans le résultat d’un service fourni au client ou d’une transaction effectuée pour le compte du client, qui est distinct de l’intérêt du client dans ce résultat ; </w:t>
      </w:r>
    </w:p>
    <w:p w14:paraId="2FFFF37D" w14:textId="77777777" w:rsidR="000426B1" w:rsidRDefault="000426B1" w:rsidP="000426B1">
      <w:pPr>
        <w:numPr>
          <w:ilvl w:val="0"/>
          <w:numId w:val="2"/>
        </w:numPr>
        <w:spacing w:after="43" w:line="267" w:lineRule="auto"/>
        <w:ind w:hanging="360"/>
        <w:jc w:val="both"/>
      </w:pPr>
      <w:r>
        <w:rPr>
          <w:rFonts w:ascii="Calibri" w:eastAsia="Calibri" w:hAnsi="Calibri" w:cs="Calibri"/>
        </w:rPr>
        <w:t xml:space="preserve">ont un avantage financier ou autre pour favoriser l’intérêt d’un autre client ou d’un groupe de clients plutôt que celui du client auquel le service est fourni ; </w:t>
      </w:r>
    </w:p>
    <w:p w14:paraId="092CC8EC" w14:textId="77777777" w:rsidR="000426B1" w:rsidRDefault="000426B1" w:rsidP="000426B1">
      <w:pPr>
        <w:numPr>
          <w:ilvl w:val="0"/>
          <w:numId w:val="2"/>
        </w:numPr>
        <w:spacing w:after="42" w:line="267" w:lineRule="auto"/>
        <w:ind w:hanging="360"/>
        <w:jc w:val="both"/>
      </w:pPr>
      <w:r>
        <w:rPr>
          <w:rFonts w:ascii="Calibri" w:eastAsia="Calibri" w:hAnsi="Calibri" w:cs="Calibri"/>
        </w:rPr>
        <w:t xml:space="preserve">exerce les mêmes activités que le client ; </w:t>
      </w:r>
    </w:p>
    <w:p w14:paraId="1624B64A" w14:textId="77777777" w:rsidR="000426B1" w:rsidRDefault="000426B1" w:rsidP="000426B1">
      <w:pPr>
        <w:numPr>
          <w:ilvl w:val="0"/>
          <w:numId w:val="2"/>
        </w:numPr>
        <w:spacing w:after="126" w:line="267" w:lineRule="auto"/>
        <w:ind w:hanging="360"/>
        <w:jc w:val="both"/>
      </w:pPr>
      <w:r>
        <w:rPr>
          <w:rFonts w:ascii="Calibri" w:eastAsia="Calibri" w:hAnsi="Calibri" w:cs="Calibri"/>
        </w:rPr>
        <w:t xml:space="preserve">sont susceptibles de recevoir (d’un tiers autre que le client) une compensation de toute nature, autre que les commissions ou frais habituellement facturés pour ce service, en relation avec un service fourni au client. </w:t>
      </w:r>
    </w:p>
    <w:p w14:paraId="19720356" w14:textId="77777777" w:rsidR="000426B1" w:rsidRDefault="000426B1" w:rsidP="000426B1">
      <w:pPr>
        <w:spacing w:after="110" w:line="267" w:lineRule="auto"/>
        <w:jc w:val="both"/>
      </w:pPr>
      <w:r>
        <w:rPr>
          <w:rFonts w:ascii="Calibri" w:eastAsia="Calibri" w:hAnsi="Calibri" w:cs="Calibri"/>
        </w:rPr>
        <w:t xml:space="preserve">Pour ce faire, </w:t>
      </w:r>
      <w:r>
        <w:t>CADI-Togo</w:t>
      </w:r>
      <w:r>
        <w:rPr>
          <w:rFonts w:ascii="Calibri" w:eastAsia="Calibri" w:hAnsi="Calibri" w:cs="Calibri"/>
        </w:rPr>
        <w:t>, a élaboré une cartographie / liste des conflits d’intérêts qui recense notamment des situations qui donnent ou sont susceptibles de donner lieu à un conflit d’intérêts, comportant un risque sensible d’atteinte aux intérêts d’un ou de plusieurs clients à l’occasion de la fourniture d’un service d’investissement ou d’un service connexe</w:t>
      </w:r>
      <w:r>
        <w:t>.</w:t>
      </w:r>
      <w:r>
        <w:rPr>
          <w:rFonts w:ascii="Calibri" w:eastAsia="Calibri" w:hAnsi="Calibri" w:cs="Calibri"/>
        </w:rPr>
        <w:t xml:space="preserve"> </w:t>
      </w:r>
    </w:p>
    <w:p w14:paraId="45F6B489" w14:textId="77777777" w:rsidR="000426B1" w:rsidRDefault="000426B1" w:rsidP="000426B1">
      <w:pPr>
        <w:spacing w:after="187" w:line="267" w:lineRule="auto"/>
        <w:ind w:left="-5" w:hanging="10"/>
        <w:jc w:val="both"/>
      </w:pPr>
      <w:r>
        <w:rPr>
          <w:rFonts w:ascii="Calibri" w:eastAsia="Calibri" w:hAnsi="Calibri" w:cs="Calibri"/>
        </w:rPr>
        <w:t xml:space="preserve">La cartographie / liste des conflits d’intérêts potentiels est mise à jour régulièrement, au moins une fois par an, et dans tous les cas : </w:t>
      </w:r>
    </w:p>
    <w:p w14:paraId="2478D1C0" w14:textId="77777777" w:rsidR="000426B1" w:rsidRDefault="000426B1" w:rsidP="000426B1">
      <w:pPr>
        <w:numPr>
          <w:ilvl w:val="0"/>
          <w:numId w:val="2"/>
        </w:numPr>
        <w:spacing w:after="42" w:line="267" w:lineRule="auto"/>
        <w:ind w:hanging="360"/>
        <w:jc w:val="both"/>
      </w:pPr>
      <w:r>
        <w:rPr>
          <w:rFonts w:ascii="Calibri" w:eastAsia="Calibri" w:hAnsi="Calibri" w:cs="Calibri"/>
        </w:rPr>
        <w:t xml:space="preserve">en cas de changement dans les activités/produits/organisations </w:t>
      </w:r>
    </w:p>
    <w:p w14:paraId="4A136E65" w14:textId="77777777" w:rsidR="000426B1" w:rsidRDefault="000426B1" w:rsidP="000426B1">
      <w:pPr>
        <w:numPr>
          <w:ilvl w:val="0"/>
          <w:numId w:val="2"/>
        </w:numPr>
        <w:spacing w:after="519" w:line="267" w:lineRule="auto"/>
        <w:ind w:hanging="360"/>
        <w:jc w:val="both"/>
      </w:pPr>
      <w:r>
        <w:rPr>
          <w:rFonts w:ascii="Calibri" w:eastAsia="Calibri" w:hAnsi="Calibri" w:cs="Calibri"/>
        </w:rPr>
        <w:t xml:space="preserve">en cas de nouveau conflit d’intérêts avéré qui ne figure pas sur la liste des conflits d’intérêts potentiels. </w:t>
      </w:r>
    </w:p>
    <w:p w14:paraId="667EE2A5" w14:textId="77777777" w:rsidR="000426B1" w:rsidRPr="000426B1" w:rsidRDefault="000426B1" w:rsidP="000426B1">
      <w:pPr>
        <w:pStyle w:val="Titre1"/>
        <w:numPr>
          <w:ilvl w:val="0"/>
          <w:numId w:val="6"/>
        </w:numPr>
        <w:rPr>
          <w:b/>
          <w:bCs/>
        </w:rPr>
      </w:pPr>
      <w:r w:rsidRPr="000426B1">
        <w:rPr>
          <w:b/>
          <w:bCs/>
        </w:rPr>
        <w:t xml:space="preserve">Prévention des conflits d’intérêts </w:t>
      </w:r>
    </w:p>
    <w:p w14:paraId="2CC9B87F" w14:textId="77777777" w:rsidR="000426B1" w:rsidRDefault="000426B1" w:rsidP="000426B1">
      <w:pPr>
        <w:spacing w:after="187" w:line="267" w:lineRule="auto"/>
        <w:jc w:val="both"/>
      </w:pPr>
      <w:r>
        <w:rPr>
          <w:rFonts w:ascii="Calibri" w:eastAsia="Calibri" w:hAnsi="Calibri" w:cs="Calibri"/>
        </w:rPr>
        <w:t xml:space="preserve">La prévention des conflits d’intérêts passe notamment par : </w:t>
      </w:r>
    </w:p>
    <w:p w14:paraId="51B7B0D5" w14:textId="77777777" w:rsidR="000426B1" w:rsidRDefault="000426B1" w:rsidP="000426B1">
      <w:pPr>
        <w:numPr>
          <w:ilvl w:val="0"/>
          <w:numId w:val="3"/>
        </w:numPr>
        <w:spacing w:after="42" w:line="267" w:lineRule="auto"/>
        <w:ind w:hanging="360"/>
        <w:jc w:val="both"/>
      </w:pPr>
      <w:r>
        <w:rPr>
          <w:rFonts w:ascii="Calibri" w:eastAsia="Calibri" w:hAnsi="Calibri" w:cs="Calibri"/>
        </w:rPr>
        <w:t xml:space="preserve">la sensibilisation des collaborateurs, passant par une formation dès que possible après leur entrée en fonction, puis périodiquement au moins une fois tous les trois ans ; </w:t>
      </w:r>
    </w:p>
    <w:p w14:paraId="0F07CD46" w14:textId="77777777" w:rsidR="000426B1" w:rsidRDefault="000426B1" w:rsidP="000426B1">
      <w:pPr>
        <w:numPr>
          <w:ilvl w:val="0"/>
          <w:numId w:val="3"/>
        </w:numPr>
        <w:spacing w:after="42" w:line="267" w:lineRule="auto"/>
        <w:ind w:hanging="360"/>
        <w:jc w:val="both"/>
      </w:pPr>
      <w:r>
        <w:rPr>
          <w:rFonts w:ascii="Calibri" w:eastAsia="Calibri" w:hAnsi="Calibri" w:cs="Calibri"/>
        </w:rPr>
        <w:t xml:space="preserve">la mise en place de contrôles ; </w:t>
      </w:r>
    </w:p>
    <w:p w14:paraId="395AAD81" w14:textId="77777777" w:rsidR="000426B1" w:rsidRDefault="000426B1" w:rsidP="000426B1">
      <w:pPr>
        <w:numPr>
          <w:ilvl w:val="0"/>
          <w:numId w:val="3"/>
        </w:numPr>
        <w:spacing w:after="43" w:line="267" w:lineRule="auto"/>
        <w:ind w:hanging="360"/>
        <w:jc w:val="both"/>
      </w:pPr>
      <w:r>
        <w:rPr>
          <w:rFonts w:ascii="Calibri" w:eastAsia="Calibri" w:hAnsi="Calibri" w:cs="Calibri"/>
        </w:rPr>
        <w:t xml:space="preserve">l’existence de barrières à l’information. Une barrière à l’information est une procédure ou une organisation dont l’objet est de prévenir la circulation indue d’informations confidentielles ou privilégiées. Elle doit prévoir notamment l’organisation matérielle conduisant à la séparation des activités susceptibles de générer des conflits d’intérêts. Les activités concernées sont celles qui sont sources d’informations confidentielles ou privilégiées, et celles qui peuvent être en conflit d’intérêts entre elles ; </w:t>
      </w:r>
    </w:p>
    <w:p w14:paraId="66BEF4BE" w14:textId="77777777" w:rsidR="000426B1" w:rsidRDefault="000426B1" w:rsidP="000426B1">
      <w:pPr>
        <w:numPr>
          <w:ilvl w:val="0"/>
          <w:numId w:val="3"/>
        </w:numPr>
        <w:spacing w:after="43" w:line="267" w:lineRule="auto"/>
        <w:ind w:hanging="360"/>
        <w:jc w:val="both"/>
      </w:pPr>
      <w:r>
        <w:rPr>
          <w:rFonts w:ascii="Calibri" w:eastAsia="Calibri" w:hAnsi="Calibri" w:cs="Calibri"/>
        </w:rPr>
        <w:t xml:space="preserve">l’existence de procédures notamment les procédures de passation des </w:t>
      </w:r>
      <w:r>
        <w:t>marchés</w:t>
      </w:r>
      <w:r>
        <w:rPr>
          <w:rFonts w:ascii="Calibri" w:eastAsia="Calibri" w:hAnsi="Calibri" w:cs="Calibri"/>
        </w:rPr>
        <w:t xml:space="preserve"> ; </w:t>
      </w:r>
    </w:p>
    <w:p w14:paraId="46C016C8" w14:textId="77777777" w:rsidR="000426B1" w:rsidRDefault="000426B1" w:rsidP="000426B1">
      <w:pPr>
        <w:numPr>
          <w:ilvl w:val="0"/>
          <w:numId w:val="3"/>
        </w:numPr>
        <w:spacing w:after="43" w:line="267" w:lineRule="auto"/>
        <w:ind w:hanging="360"/>
        <w:jc w:val="both"/>
      </w:pPr>
      <w:r>
        <w:rPr>
          <w:rFonts w:ascii="Calibri" w:eastAsia="Calibri" w:hAnsi="Calibri" w:cs="Calibri"/>
        </w:rPr>
        <w:lastRenderedPageBreak/>
        <w:t xml:space="preserve">l’existence d’un code de déontologie qui précise les principes fondamentaux qui doivent guider les collaborateurs dans l’exercice de leur activité professionnelle et qui expose le régime des transactions personnelles, les cadeaux et les invitations, etc. ; </w:t>
      </w:r>
    </w:p>
    <w:p w14:paraId="5236D6DD" w14:textId="77777777" w:rsidR="000426B1" w:rsidRDefault="000426B1" w:rsidP="000426B1">
      <w:pPr>
        <w:numPr>
          <w:ilvl w:val="0"/>
          <w:numId w:val="3"/>
        </w:numPr>
        <w:spacing w:after="43" w:line="267" w:lineRule="auto"/>
        <w:ind w:hanging="360"/>
        <w:jc w:val="both"/>
      </w:pPr>
      <w:r>
        <w:rPr>
          <w:rFonts w:ascii="Calibri" w:eastAsia="Calibri" w:hAnsi="Calibri" w:cs="Calibri"/>
        </w:rPr>
        <w:t xml:space="preserve">l’existence d’une politique de rémunération qui définit les modalités de calcul et de versement des rémunérations variables, afin d’éviter tout encouragement à une prise de risque qui pourrait se faire au détriment de l’intérêt des clients ; </w:t>
      </w:r>
    </w:p>
    <w:p w14:paraId="1CDDBED1" w14:textId="77777777" w:rsidR="000426B1" w:rsidRDefault="000426B1" w:rsidP="000426B1">
      <w:pPr>
        <w:spacing w:after="43" w:line="267" w:lineRule="auto"/>
        <w:ind w:left="705"/>
        <w:jc w:val="both"/>
      </w:pPr>
    </w:p>
    <w:p w14:paraId="01EE2C4D" w14:textId="77777777" w:rsidR="000426B1" w:rsidRPr="000426B1" w:rsidRDefault="000426B1" w:rsidP="000426B1">
      <w:pPr>
        <w:pStyle w:val="Titre1"/>
        <w:numPr>
          <w:ilvl w:val="0"/>
          <w:numId w:val="6"/>
        </w:numPr>
        <w:rPr>
          <w:b/>
          <w:bCs/>
        </w:rPr>
      </w:pPr>
      <w:r w:rsidRPr="000426B1">
        <w:rPr>
          <w:b/>
          <w:bCs/>
        </w:rPr>
        <w:t xml:space="preserve">Gestion et résolution des conflits d’intérêts </w:t>
      </w:r>
    </w:p>
    <w:p w14:paraId="29262751" w14:textId="77777777" w:rsidR="000426B1" w:rsidRDefault="000426B1" w:rsidP="000426B1">
      <w:pPr>
        <w:spacing w:after="188" w:line="267" w:lineRule="auto"/>
        <w:jc w:val="both"/>
      </w:pPr>
      <w:r>
        <w:rPr>
          <w:rFonts w:ascii="Calibri" w:eastAsia="Calibri" w:hAnsi="Calibri" w:cs="Calibri"/>
        </w:rPr>
        <w:t xml:space="preserve">La gestion et la résolution des conflits d’intérêts reposent à la fois : </w:t>
      </w:r>
    </w:p>
    <w:p w14:paraId="37BF21C0" w14:textId="77777777" w:rsidR="000426B1" w:rsidRDefault="000426B1" w:rsidP="000426B1">
      <w:pPr>
        <w:numPr>
          <w:ilvl w:val="0"/>
          <w:numId w:val="4"/>
        </w:numPr>
        <w:spacing w:after="43" w:line="267" w:lineRule="auto"/>
        <w:ind w:hanging="360"/>
        <w:jc w:val="both"/>
      </w:pPr>
      <w:r>
        <w:rPr>
          <w:rFonts w:ascii="Calibri" w:eastAsia="Calibri" w:hAnsi="Calibri" w:cs="Calibri"/>
        </w:rPr>
        <w:t xml:space="preserve">sur la remontée d’informations des collaborateurs concernés au </w:t>
      </w:r>
      <w:r>
        <w:t xml:space="preserve">Point Focal </w:t>
      </w:r>
      <w:r>
        <w:rPr>
          <w:rFonts w:ascii="Calibri" w:eastAsia="Calibri" w:hAnsi="Calibri" w:cs="Calibri"/>
        </w:rPr>
        <w:t>Conformité et</w:t>
      </w:r>
      <w:r>
        <w:t xml:space="preserve"> </w:t>
      </w:r>
      <w:r>
        <w:rPr>
          <w:rFonts w:ascii="Calibri" w:eastAsia="Calibri" w:hAnsi="Calibri" w:cs="Calibri"/>
        </w:rPr>
        <w:t xml:space="preserve">Contrôle Interne ; </w:t>
      </w:r>
    </w:p>
    <w:p w14:paraId="3A7E8CA1" w14:textId="77777777" w:rsidR="000426B1" w:rsidRDefault="000426B1" w:rsidP="000426B1">
      <w:pPr>
        <w:numPr>
          <w:ilvl w:val="0"/>
          <w:numId w:val="4"/>
        </w:numPr>
        <w:spacing w:after="32" w:line="275" w:lineRule="auto"/>
        <w:ind w:hanging="360"/>
        <w:jc w:val="both"/>
      </w:pPr>
      <w:r>
        <w:rPr>
          <w:rFonts w:ascii="Calibri" w:eastAsia="Calibri" w:hAnsi="Calibri" w:cs="Calibri"/>
        </w:rPr>
        <w:t xml:space="preserve">sur l’information claire faite par </w:t>
      </w:r>
      <w:r>
        <w:t>CADI-Togo</w:t>
      </w:r>
      <w:r>
        <w:rPr>
          <w:rFonts w:ascii="Calibri" w:eastAsia="Calibri" w:hAnsi="Calibri" w:cs="Calibri"/>
        </w:rPr>
        <w:t xml:space="preserve"> à ses clients, avant d’agir en leur nom, de la nature générale ou de la source des conflits d’intérêts lorsque les mesures prises pour empêcher les conflits d’intérêts ne suffisent pas à garantir, avec une certitude raisonnable, que le risque de porter atteinte à leurs intérêts sera évité ; </w:t>
      </w:r>
    </w:p>
    <w:p w14:paraId="23E5DA13" w14:textId="77777777" w:rsidR="000426B1" w:rsidRDefault="000426B1" w:rsidP="000426B1">
      <w:pPr>
        <w:numPr>
          <w:ilvl w:val="0"/>
          <w:numId w:val="4"/>
        </w:numPr>
        <w:spacing w:after="128" w:line="267" w:lineRule="auto"/>
        <w:ind w:hanging="360"/>
        <w:jc w:val="both"/>
      </w:pPr>
      <w:r>
        <w:rPr>
          <w:rFonts w:ascii="Calibri" w:eastAsia="Calibri" w:hAnsi="Calibri" w:cs="Calibri"/>
        </w:rPr>
        <w:t>sur l’adoption de mesures supplémentaires ou de substitution si nécessaire. La mise en place des barrières à l’information peut se heurter au nécessaire développement des synergies entre certains métiers exercés au sein d</w:t>
      </w:r>
      <w:r>
        <w:t>e l’Organisation</w:t>
      </w:r>
      <w:r>
        <w:rPr>
          <w:rFonts w:ascii="Calibri" w:eastAsia="Calibri" w:hAnsi="Calibri" w:cs="Calibri"/>
        </w:rPr>
        <w:t xml:space="preserve">. Lorsqu’il est indispensable pour la réalisation du dossier pour lequel les informations confidentielles ont été données, de divulguer ces informations à d’autres personnes du service, ou d’un autre service ou d’un autre établissement, l’autorisation doit en être demandée préalablement au </w:t>
      </w:r>
      <w:r>
        <w:t xml:space="preserve">Point Focal </w:t>
      </w:r>
      <w:r>
        <w:rPr>
          <w:rFonts w:ascii="Calibri" w:eastAsia="Calibri" w:hAnsi="Calibri" w:cs="Calibri"/>
        </w:rPr>
        <w:t xml:space="preserve">Conformité et Contrôle Interne. </w:t>
      </w:r>
    </w:p>
    <w:p w14:paraId="43EBDFB9" w14:textId="77777777" w:rsidR="000426B1" w:rsidRDefault="000426B1" w:rsidP="000426B1">
      <w:pPr>
        <w:spacing w:after="110" w:line="267" w:lineRule="auto"/>
        <w:ind w:left="-5" w:hanging="10"/>
        <w:jc w:val="both"/>
      </w:pPr>
      <w:r>
        <w:rPr>
          <w:rFonts w:ascii="Calibri" w:eastAsia="Calibri" w:hAnsi="Calibri" w:cs="Calibri"/>
        </w:rPr>
        <w:t xml:space="preserve">Les conflits d’intérêts avérés sont recensés dans un registre, dans lequel sont consignées leurs caractéristiques ainsi que les mesures prises pour les résoudre, ou à défaut la communication faite au client.  </w:t>
      </w:r>
    </w:p>
    <w:p w14:paraId="4AF2875C" w14:textId="77777777" w:rsidR="000426B1" w:rsidRDefault="000426B1" w:rsidP="000426B1">
      <w:pPr>
        <w:spacing w:after="113" w:line="267" w:lineRule="auto"/>
        <w:ind w:left="-5" w:hanging="10"/>
        <w:jc w:val="both"/>
      </w:pPr>
      <w:r>
        <w:rPr>
          <w:rFonts w:ascii="Calibri" w:eastAsia="Calibri" w:hAnsi="Calibri" w:cs="Calibri"/>
        </w:rPr>
        <w:t xml:space="preserve">En effet, dans certains cas complexes ou particuliers, les dispositions organisationnelles et administratives prises peuvent être insuffisantes pour garantir avec une certitude raisonnable que le risque de porter atteinte aux intérêts des clients soit évité. Dans ce cas, </w:t>
      </w:r>
      <w:r>
        <w:t>CADI-Togo</w:t>
      </w:r>
      <w:r>
        <w:rPr>
          <w:rFonts w:ascii="Calibri" w:eastAsia="Calibri" w:hAnsi="Calibri" w:cs="Calibri"/>
        </w:rPr>
        <w:t xml:space="preserve"> informe les </w:t>
      </w:r>
      <w:r>
        <w:t>partenaires</w:t>
      </w:r>
      <w:r>
        <w:rPr>
          <w:rFonts w:ascii="Calibri" w:eastAsia="Calibri" w:hAnsi="Calibri" w:cs="Calibri"/>
        </w:rPr>
        <w:t xml:space="preserve"> de façon claire et appropriée, de la nature et de la source de ces conflits d’intérêts, afin de leur permettre de prendre une décision en toute connaissance de cause. </w:t>
      </w:r>
    </w:p>
    <w:p w14:paraId="553FB561" w14:textId="77777777" w:rsidR="000426B1" w:rsidRDefault="000426B1" w:rsidP="000426B1">
      <w:pPr>
        <w:spacing w:after="113" w:line="267" w:lineRule="auto"/>
        <w:ind w:left="-5" w:hanging="10"/>
        <w:jc w:val="both"/>
      </w:pPr>
      <w:r>
        <w:rPr>
          <w:rFonts w:ascii="Calibri" w:eastAsia="Calibri" w:hAnsi="Calibri" w:cs="Calibri"/>
        </w:rPr>
        <w:t>Dans certains cas complexes ou particuliers, les dispositions organisationnelles et administratives prises peuvent être insuffisantes pour garantir avec une certitude raisonnable que le risque de porter atteinte aux intérêts des clients soit évité. Dans ce cas,</w:t>
      </w:r>
      <w:r>
        <w:t xml:space="preserve"> CADI-Togo</w:t>
      </w:r>
      <w:r>
        <w:rPr>
          <w:rFonts w:ascii="Calibri" w:eastAsia="Calibri" w:hAnsi="Calibri" w:cs="Calibri"/>
        </w:rPr>
        <w:t xml:space="preserve"> informe les clients de façon claire et appropriée, de la nature et de la source de ces conflits d’intérêts, afin de leur permettre de prendre une décision en toute connaissance de cause. </w:t>
      </w:r>
    </w:p>
    <w:p w14:paraId="081E25BB" w14:textId="77777777" w:rsidR="000426B1" w:rsidRDefault="000426B1" w:rsidP="000426B1">
      <w:pPr>
        <w:spacing w:after="42" w:line="267" w:lineRule="auto"/>
        <w:ind w:left="-5" w:hanging="10"/>
        <w:jc w:val="both"/>
      </w:pPr>
      <w:r>
        <w:rPr>
          <w:rFonts w:ascii="Calibri" w:eastAsia="Calibri" w:hAnsi="Calibri" w:cs="Calibri"/>
        </w:rPr>
        <w:t xml:space="preserve">Le dispositif mis en place par </w:t>
      </w:r>
      <w:r>
        <w:t>CADI-Togo</w:t>
      </w:r>
      <w:r>
        <w:rPr>
          <w:rFonts w:ascii="Calibri" w:eastAsia="Calibri" w:hAnsi="Calibri" w:cs="Calibri"/>
        </w:rPr>
        <w:t xml:space="preserve"> est régulièrement revu. Les procédures sont actualisées en fonction de l’évolution des modifications réglementaires et la cartographie des conflits d’intérêts est mise à jour au minimum annuellement. </w:t>
      </w:r>
    </w:p>
    <w:p w14:paraId="079A2219" w14:textId="77777777" w:rsidR="000426B1" w:rsidRPr="000426B1" w:rsidRDefault="000426B1" w:rsidP="000426B1">
      <w:pPr>
        <w:pStyle w:val="Titre1"/>
        <w:numPr>
          <w:ilvl w:val="0"/>
          <w:numId w:val="6"/>
        </w:numPr>
        <w:rPr>
          <w:b/>
          <w:bCs/>
        </w:rPr>
      </w:pPr>
      <w:r w:rsidRPr="000426B1">
        <w:rPr>
          <w:b/>
          <w:bCs/>
        </w:rPr>
        <w:lastRenderedPageBreak/>
        <w:t xml:space="preserve">Contrôle du dispositif </w:t>
      </w:r>
    </w:p>
    <w:p w14:paraId="3F1ABE2C" w14:textId="77777777" w:rsidR="000426B1" w:rsidRDefault="000426B1" w:rsidP="000426B1">
      <w:pPr>
        <w:spacing w:after="446" w:line="267" w:lineRule="auto"/>
        <w:ind w:left="-5" w:hanging="10"/>
        <w:jc w:val="both"/>
      </w:pPr>
      <w:r>
        <w:rPr>
          <w:rFonts w:ascii="Calibri" w:eastAsia="Calibri" w:hAnsi="Calibri" w:cs="Calibri"/>
        </w:rPr>
        <w:t xml:space="preserve">Le programme de contrôle interne de </w:t>
      </w:r>
      <w:r>
        <w:t>CADI-Togo</w:t>
      </w:r>
      <w:r>
        <w:rPr>
          <w:rFonts w:ascii="Calibri" w:eastAsia="Calibri" w:hAnsi="Calibri" w:cs="Calibri"/>
        </w:rPr>
        <w:t xml:space="preserve"> inclut des tests des exigences prévues dans cette politique. Des contrôles rétrospectifs</w:t>
      </w:r>
      <w:r>
        <w:rPr>
          <w:rFonts w:ascii="Calibri" w:eastAsia="Calibri" w:hAnsi="Calibri" w:cs="Calibri"/>
          <w:i/>
        </w:rPr>
        <w:t xml:space="preserve"> </w:t>
      </w:r>
      <w:r>
        <w:rPr>
          <w:rFonts w:ascii="Calibri" w:eastAsia="Calibri" w:hAnsi="Calibri" w:cs="Calibri"/>
        </w:rPr>
        <w:t xml:space="preserve">sont réalisés pour identifier des conflits d’intérêts qui auraient pu être négligés, des tendances ou des points de dégradation. </w:t>
      </w:r>
    </w:p>
    <w:p w14:paraId="7FFE7473" w14:textId="77777777" w:rsidR="000426B1" w:rsidRPr="000426B1" w:rsidRDefault="000426B1" w:rsidP="000426B1">
      <w:pPr>
        <w:pStyle w:val="Titre1"/>
        <w:numPr>
          <w:ilvl w:val="0"/>
          <w:numId w:val="6"/>
        </w:numPr>
        <w:rPr>
          <w:b/>
          <w:bCs/>
        </w:rPr>
      </w:pPr>
      <w:r w:rsidRPr="000426B1">
        <w:rPr>
          <w:b/>
          <w:bCs/>
        </w:rPr>
        <w:t xml:space="preserve">Rapport annuel de conformité </w:t>
      </w:r>
    </w:p>
    <w:p w14:paraId="5FC65124" w14:textId="77777777" w:rsidR="000426B1" w:rsidRDefault="000426B1" w:rsidP="000426B1">
      <w:pPr>
        <w:spacing w:after="185" w:line="267" w:lineRule="auto"/>
        <w:jc w:val="both"/>
      </w:pPr>
      <w:r>
        <w:t>CADI-Togo</w:t>
      </w:r>
      <w:r>
        <w:rPr>
          <w:rFonts w:ascii="Calibri" w:eastAsia="Calibri" w:hAnsi="Calibri" w:cs="Calibri"/>
        </w:rPr>
        <w:t xml:space="preserve"> établit tous les ans un rapport de conformité à destination de la Direction </w:t>
      </w:r>
      <w:r>
        <w:t>exécutive</w:t>
      </w:r>
      <w:r>
        <w:rPr>
          <w:rFonts w:ascii="Calibri" w:eastAsia="Calibri" w:hAnsi="Calibri" w:cs="Calibri"/>
        </w:rPr>
        <w:t xml:space="preserve"> et du Conseil d’administration. Ce rapport inclut des informations sur les conflits d’intérêts, et notamment : </w:t>
      </w:r>
    </w:p>
    <w:p w14:paraId="5623CB89" w14:textId="77777777" w:rsidR="000426B1" w:rsidRDefault="000426B1" w:rsidP="000426B1">
      <w:pPr>
        <w:numPr>
          <w:ilvl w:val="0"/>
          <w:numId w:val="5"/>
        </w:numPr>
        <w:spacing w:after="43" w:line="267" w:lineRule="auto"/>
        <w:ind w:hanging="708"/>
        <w:jc w:val="both"/>
      </w:pPr>
      <w:r>
        <w:rPr>
          <w:rFonts w:ascii="Calibri" w:eastAsia="Calibri" w:hAnsi="Calibri" w:cs="Calibri"/>
        </w:rPr>
        <w:t xml:space="preserve">le nombre total de situations de conflits d’intérêts identifiées au cours de la période ; </w:t>
      </w:r>
    </w:p>
    <w:p w14:paraId="36443178" w14:textId="77777777" w:rsidR="000426B1" w:rsidRDefault="000426B1" w:rsidP="000426B1">
      <w:pPr>
        <w:numPr>
          <w:ilvl w:val="0"/>
          <w:numId w:val="5"/>
        </w:numPr>
        <w:spacing w:after="169" w:line="267" w:lineRule="auto"/>
        <w:ind w:hanging="708"/>
        <w:jc w:val="both"/>
      </w:pPr>
      <w:r>
        <w:rPr>
          <w:rFonts w:ascii="Calibri" w:eastAsia="Calibri" w:hAnsi="Calibri" w:cs="Calibri"/>
        </w:rPr>
        <w:t xml:space="preserve">un aperçu supplémentaire de toute situation nécessitant une action spécifique de la part de </w:t>
      </w:r>
      <w:r>
        <w:t>CADI-Togo</w:t>
      </w:r>
      <w:r>
        <w:rPr>
          <w:rFonts w:ascii="Calibri" w:eastAsia="Calibri" w:hAnsi="Calibri" w:cs="Calibri"/>
        </w:rPr>
        <w:t xml:space="preserve"> pour gérer avec succès le Conflit d’intérêts (informations au client, décision de ne pas investir ou de fournir le service d’investissement, etc.).  </w:t>
      </w:r>
    </w:p>
    <w:p w14:paraId="712A953E" w14:textId="77777777" w:rsidR="000426B1" w:rsidRPr="000426B1" w:rsidRDefault="000426B1" w:rsidP="000426B1">
      <w:pPr>
        <w:pStyle w:val="Titre1"/>
        <w:numPr>
          <w:ilvl w:val="0"/>
          <w:numId w:val="6"/>
        </w:numPr>
        <w:rPr>
          <w:b/>
          <w:bCs/>
        </w:rPr>
      </w:pPr>
      <w:r w:rsidRPr="000426B1">
        <w:rPr>
          <w:b/>
          <w:bCs/>
        </w:rPr>
        <w:t xml:space="preserve">Diffusion de la Politique </w:t>
      </w:r>
    </w:p>
    <w:p w14:paraId="6E717ADF" w14:textId="4496B780" w:rsidR="00C11800" w:rsidRDefault="000426B1" w:rsidP="000426B1">
      <w:pPr>
        <w:spacing w:after="112" w:line="267" w:lineRule="auto"/>
        <w:jc w:val="both"/>
        <w:rPr>
          <w:rFonts w:ascii="Calibri" w:eastAsia="Calibri" w:hAnsi="Calibri" w:cs="Calibri"/>
        </w:rPr>
      </w:pPr>
      <w:r>
        <w:rPr>
          <w:rFonts w:ascii="Calibri" w:eastAsia="Calibri" w:hAnsi="Calibri" w:cs="Calibri"/>
        </w:rPr>
        <w:t xml:space="preserve">Cette politique est disponible sur le site Internet de </w:t>
      </w:r>
      <w:r>
        <w:t>CADI-Togo</w:t>
      </w:r>
      <w:r>
        <w:rPr>
          <w:rFonts w:ascii="Calibri" w:eastAsia="Calibri" w:hAnsi="Calibri" w:cs="Calibri"/>
        </w:rPr>
        <w:t xml:space="preserve"> à l’adresse </w:t>
      </w:r>
      <w:r w:rsidR="00C11800">
        <w:rPr>
          <w:rFonts w:ascii="Calibri" w:eastAsia="Calibri" w:hAnsi="Calibri" w:cs="Calibri"/>
        </w:rPr>
        <w:t>suivante :</w:t>
      </w:r>
    </w:p>
    <w:p w14:paraId="09AC64C3" w14:textId="5790F0C4" w:rsidR="000426B1" w:rsidRDefault="000426B1" w:rsidP="000426B1">
      <w:pPr>
        <w:spacing w:after="112" w:line="267" w:lineRule="auto"/>
        <w:jc w:val="both"/>
      </w:pPr>
      <w:r>
        <w:rPr>
          <w:rFonts w:ascii="Calibri" w:eastAsia="Calibri" w:hAnsi="Calibri" w:cs="Calibri"/>
        </w:rPr>
        <w:t xml:space="preserve"> </w:t>
      </w:r>
      <w:hyperlink r:id="rId8" w:history="1">
        <w:r w:rsidRPr="00EA576D">
          <w:rPr>
            <w:rStyle w:val="Lienhypertexte"/>
          </w:rPr>
          <w:t>www.ongcaditogo.org</w:t>
        </w:r>
      </w:hyperlink>
      <w:r>
        <w:t xml:space="preserve"> </w:t>
      </w:r>
    </w:p>
    <w:p w14:paraId="5A28EE20" w14:textId="4B2F3D90" w:rsidR="00254F67" w:rsidRDefault="00254F67" w:rsidP="000426B1">
      <w:pPr>
        <w:jc w:val="both"/>
        <w:rPr>
          <w:color w:val="0070C0"/>
          <w:sz w:val="44"/>
          <w:szCs w:val="44"/>
        </w:rPr>
      </w:pPr>
    </w:p>
    <w:p w14:paraId="1C960213" w14:textId="77777777" w:rsidR="00D84F09" w:rsidRDefault="00D84F09" w:rsidP="000426B1">
      <w:pPr>
        <w:jc w:val="both"/>
        <w:rPr>
          <w:rFonts w:ascii="Calibri" w:eastAsia="Calibri" w:hAnsi="Calibri" w:cs="Calibri"/>
          <w:sz w:val="28"/>
          <w:szCs w:val="28"/>
        </w:rPr>
      </w:pPr>
    </w:p>
    <w:p w14:paraId="32C5414C" w14:textId="2585E459" w:rsidR="00254F67" w:rsidRDefault="00254F67" w:rsidP="000426B1">
      <w:pPr>
        <w:jc w:val="both"/>
        <w:rPr>
          <w:rFonts w:ascii="Calibri" w:eastAsia="Calibri" w:hAnsi="Calibri" w:cs="Calibri"/>
          <w:sz w:val="28"/>
          <w:szCs w:val="28"/>
        </w:rPr>
      </w:pPr>
      <w:bookmarkStart w:id="0" w:name="_GoBack"/>
      <w:bookmarkEnd w:id="0"/>
      <w:r w:rsidRPr="00254F67">
        <w:rPr>
          <w:rFonts w:ascii="Calibri" w:eastAsia="Calibri" w:hAnsi="Calibri" w:cs="Calibri"/>
          <w:sz w:val="28"/>
          <w:szCs w:val="28"/>
        </w:rPr>
        <w:t>Le Directeur Exécutif</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Le Président du Conseil d’Administration </w:t>
      </w:r>
    </w:p>
    <w:p w14:paraId="26EE8BED" w14:textId="77777777" w:rsidR="002C74FA" w:rsidRDefault="002C74FA" w:rsidP="00254F67">
      <w:pPr>
        <w:jc w:val="both"/>
        <w:rPr>
          <w:rFonts w:ascii="Calibri" w:eastAsia="Calibri" w:hAnsi="Calibri" w:cs="Calibri"/>
          <w:sz w:val="28"/>
          <w:szCs w:val="28"/>
        </w:rPr>
      </w:pPr>
    </w:p>
    <w:p w14:paraId="7189123A" w14:textId="77777777" w:rsidR="002C74FA" w:rsidRDefault="002C74FA" w:rsidP="00254F67">
      <w:pPr>
        <w:jc w:val="both"/>
        <w:rPr>
          <w:rFonts w:ascii="Calibri" w:eastAsia="Calibri" w:hAnsi="Calibri" w:cs="Calibri"/>
          <w:sz w:val="28"/>
          <w:szCs w:val="28"/>
        </w:rPr>
      </w:pPr>
    </w:p>
    <w:p w14:paraId="6C6E09EA" w14:textId="77777777" w:rsidR="002C74FA" w:rsidRDefault="002C74FA" w:rsidP="00254F67">
      <w:pPr>
        <w:jc w:val="both"/>
        <w:rPr>
          <w:rFonts w:ascii="Calibri" w:eastAsia="Calibri" w:hAnsi="Calibri" w:cs="Calibri"/>
          <w:sz w:val="28"/>
          <w:szCs w:val="28"/>
        </w:rPr>
      </w:pPr>
    </w:p>
    <w:p w14:paraId="1F69F9A7" w14:textId="238E77BA" w:rsidR="00254F67" w:rsidRPr="00254F67" w:rsidRDefault="00254F67" w:rsidP="00254F67">
      <w:pPr>
        <w:jc w:val="both"/>
        <w:rPr>
          <w:rFonts w:ascii="Calibri" w:eastAsia="Calibri" w:hAnsi="Calibri" w:cs="Calibri"/>
          <w:sz w:val="28"/>
          <w:szCs w:val="28"/>
        </w:rPr>
      </w:pPr>
      <w:r>
        <w:rPr>
          <w:rFonts w:ascii="Calibri" w:eastAsia="Calibri" w:hAnsi="Calibri" w:cs="Calibri"/>
          <w:sz w:val="28"/>
          <w:szCs w:val="28"/>
        </w:rPr>
        <w:t xml:space="preserve">AYEBOU Komi </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Dr </w:t>
      </w:r>
      <w:r w:rsidR="00AB7EB3">
        <w:rPr>
          <w:rFonts w:ascii="Calibri" w:eastAsia="Calibri" w:hAnsi="Calibri" w:cs="Calibri"/>
          <w:sz w:val="28"/>
          <w:szCs w:val="28"/>
        </w:rPr>
        <w:t>TCHOKO Elom Kokou</w:t>
      </w:r>
    </w:p>
    <w:sectPr w:rsidR="00254F67" w:rsidRPr="00254F67" w:rsidSect="00C1180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5F7D2" w14:textId="77777777" w:rsidR="0032425A" w:rsidRDefault="0032425A" w:rsidP="000426B1">
      <w:pPr>
        <w:spacing w:after="0" w:line="240" w:lineRule="auto"/>
      </w:pPr>
      <w:r>
        <w:separator/>
      </w:r>
    </w:p>
  </w:endnote>
  <w:endnote w:type="continuationSeparator" w:id="0">
    <w:p w14:paraId="5554BDF4" w14:textId="77777777" w:rsidR="0032425A" w:rsidRDefault="0032425A" w:rsidP="0004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760775"/>
      <w:docPartObj>
        <w:docPartGallery w:val="Page Numbers (Bottom of Page)"/>
        <w:docPartUnique/>
      </w:docPartObj>
    </w:sdtPr>
    <w:sdtEndPr/>
    <w:sdtContent>
      <w:sdt>
        <w:sdtPr>
          <w:id w:val="-1705238520"/>
          <w:docPartObj>
            <w:docPartGallery w:val="Page Numbers (Top of Page)"/>
            <w:docPartUnique/>
          </w:docPartObj>
        </w:sdtPr>
        <w:sdtEndPr/>
        <w:sdtContent>
          <w:p w14:paraId="27C339D2" w14:textId="1FB680E5" w:rsidR="00C11800" w:rsidRDefault="00C11800">
            <w:pPr>
              <w:pStyle w:val="Pieddepage"/>
            </w:pPr>
            <w:r>
              <w:t xml:space="preserve">Page </w:t>
            </w:r>
            <w:r>
              <w:rPr>
                <w:b/>
                <w:bCs/>
                <w:sz w:val="24"/>
                <w:szCs w:val="24"/>
              </w:rPr>
              <w:fldChar w:fldCharType="begin"/>
            </w:r>
            <w:r>
              <w:rPr>
                <w:b/>
                <w:bCs/>
              </w:rPr>
              <w:instrText>PAGE</w:instrText>
            </w:r>
            <w:r>
              <w:rPr>
                <w:b/>
                <w:bCs/>
                <w:sz w:val="24"/>
                <w:szCs w:val="24"/>
              </w:rPr>
              <w:fldChar w:fldCharType="separate"/>
            </w:r>
            <w:r w:rsidR="00D84F09">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84F09">
              <w:rPr>
                <w:b/>
                <w:bCs/>
                <w:noProof/>
              </w:rPr>
              <w:t>5</w:t>
            </w:r>
            <w:r>
              <w:rPr>
                <w:b/>
                <w:bCs/>
                <w:sz w:val="24"/>
                <w:szCs w:val="24"/>
              </w:rPr>
              <w:fldChar w:fldCharType="end"/>
            </w:r>
          </w:p>
        </w:sdtContent>
      </w:sdt>
    </w:sdtContent>
  </w:sdt>
  <w:p w14:paraId="73F29BEC" w14:textId="77777777" w:rsidR="00C11800" w:rsidRDefault="00C1180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828E0" w14:textId="77777777" w:rsidR="0032425A" w:rsidRDefault="0032425A" w:rsidP="000426B1">
      <w:pPr>
        <w:spacing w:after="0" w:line="240" w:lineRule="auto"/>
      </w:pPr>
      <w:r>
        <w:separator/>
      </w:r>
    </w:p>
  </w:footnote>
  <w:footnote w:type="continuationSeparator" w:id="0">
    <w:p w14:paraId="4BE8C586" w14:textId="77777777" w:rsidR="0032425A" w:rsidRDefault="0032425A" w:rsidP="000426B1">
      <w:pPr>
        <w:spacing w:after="0" w:line="240" w:lineRule="auto"/>
      </w:pPr>
      <w:r>
        <w:continuationSeparator/>
      </w:r>
    </w:p>
  </w:footnote>
  <w:footnote w:id="1">
    <w:p w14:paraId="35A23C6C" w14:textId="77777777" w:rsidR="000426B1" w:rsidRPr="00705F4F" w:rsidRDefault="000426B1" w:rsidP="000426B1">
      <w:pPr>
        <w:pStyle w:val="Notedebasdepage"/>
      </w:pPr>
      <w:r>
        <w:rPr>
          <w:rStyle w:val="Appelnotedebasdep"/>
        </w:rPr>
        <w:footnoteRef/>
      </w:r>
      <w:r>
        <w:t xml:space="preserve"> </w:t>
      </w:r>
      <w:r w:rsidRPr="00705F4F">
        <w:rPr>
          <w:i/>
          <w:color w:val="262626"/>
          <w:sz w:val="16"/>
          <w:szCs w:val="16"/>
        </w:rPr>
        <w:t>Désigne notamment les salariés (y compris les CDD, les stagiaires et les volontaires), les cadres dirigeants, les membres du conseil d’administration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B2098"/>
    <w:multiLevelType w:val="hybridMultilevel"/>
    <w:tmpl w:val="2F2E6A1A"/>
    <w:lvl w:ilvl="0" w:tplc="E284A28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4EC1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BA401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A86F8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0040B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A7E1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40388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32290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6824D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327091"/>
    <w:multiLevelType w:val="hybridMultilevel"/>
    <w:tmpl w:val="82B4C862"/>
    <w:lvl w:ilvl="0" w:tplc="01A45212">
      <w:start w:val="1"/>
      <w:numFmt w:val="bullet"/>
      <w:lvlText w:val="•"/>
      <w:lvlJc w:val="left"/>
      <w:pPr>
        <w:ind w:left="705"/>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1" w:tplc="FEACDA0C">
      <w:start w:val="1"/>
      <w:numFmt w:val="bullet"/>
      <w:lvlText w:val="o"/>
      <w:lvlJc w:val="left"/>
      <w:pPr>
        <w:ind w:left="1431"/>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2" w:tplc="B9E04D48">
      <w:start w:val="1"/>
      <w:numFmt w:val="bullet"/>
      <w:lvlText w:val="▪"/>
      <w:lvlJc w:val="left"/>
      <w:pPr>
        <w:ind w:left="2151"/>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3" w:tplc="43EE5B1E">
      <w:start w:val="1"/>
      <w:numFmt w:val="bullet"/>
      <w:lvlText w:val="•"/>
      <w:lvlJc w:val="left"/>
      <w:pPr>
        <w:ind w:left="2871"/>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4" w:tplc="071C0E02">
      <w:start w:val="1"/>
      <w:numFmt w:val="bullet"/>
      <w:lvlText w:val="o"/>
      <w:lvlJc w:val="left"/>
      <w:pPr>
        <w:ind w:left="3591"/>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5" w:tplc="C5D4EB96">
      <w:start w:val="1"/>
      <w:numFmt w:val="bullet"/>
      <w:lvlText w:val="▪"/>
      <w:lvlJc w:val="left"/>
      <w:pPr>
        <w:ind w:left="4311"/>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6" w:tplc="77B4D2AC">
      <w:start w:val="1"/>
      <w:numFmt w:val="bullet"/>
      <w:lvlText w:val="•"/>
      <w:lvlJc w:val="left"/>
      <w:pPr>
        <w:ind w:left="5031"/>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7" w:tplc="95A69272">
      <w:start w:val="1"/>
      <w:numFmt w:val="bullet"/>
      <w:lvlText w:val="o"/>
      <w:lvlJc w:val="left"/>
      <w:pPr>
        <w:ind w:left="5751"/>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lvl w:ilvl="8" w:tplc="84DEAA24">
      <w:start w:val="1"/>
      <w:numFmt w:val="bullet"/>
      <w:lvlText w:val="▪"/>
      <w:lvlJc w:val="left"/>
      <w:pPr>
        <w:ind w:left="6471"/>
      </w:pPr>
      <w:rPr>
        <w:rFonts w:ascii="Segoe UI Symbol" w:eastAsia="Segoe UI Symbol" w:hAnsi="Segoe UI Symbol" w:cs="Segoe UI Symbol"/>
        <w:b w:val="0"/>
        <w:i w:val="0"/>
        <w:strike w:val="0"/>
        <w:dstrike w:val="0"/>
        <w:color w:val="262626"/>
        <w:sz w:val="22"/>
        <w:szCs w:val="22"/>
        <w:u w:val="none" w:color="000000"/>
        <w:bdr w:val="none" w:sz="0" w:space="0" w:color="auto"/>
        <w:shd w:val="clear" w:color="auto" w:fill="auto"/>
        <w:vertAlign w:val="baseline"/>
      </w:rPr>
    </w:lvl>
  </w:abstractNum>
  <w:abstractNum w:abstractNumId="2" w15:restartNumberingAfterBreak="0">
    <w:nsid w:val="4C337F5B"/>
    <w:multiLevelType w:val="hybridMultilevel"/>
    <w:tmpl w:val="42AC5310"/>
    <w:lvl w:ilvl="0" w:tplc="2000000F">
      <w:start w:val="1"/>
      <w:numFmt w:val="decimal"/>
      <w:lvlText w:val="%1."/>
      <w:lvlJc w:val="left"/>
      <w:pPr>
        <w:ind w:left="705" w:hanging="360"/>
      </w:pPr>
      <w:rPr>
        <w:rFonts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3" w15:restartNumberingAfterBreak="0">
    <w:nsid w:val="5F7F6716"/>
    <w:multiLevelType w:val="hybridMultilevel"/>
    <w:tmpl w:val="20D84760"/>
    <w:lvl w:ilvl="0" w:tplc="B244712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8624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1A8DF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86DA7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2417E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C8E16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9089E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98BEA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92F20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22C77BC"/>
    <w:multiLevelType w:val="hybridMultilevel"/>
    <w:tmpl w:val="7DA6BBCA"/>
    <w:lvl w:ilvl="0" w:tplc="A58C9A1E">
      <w:start w:val="1"/>
      <w:numFmt w:val="bullet"/>
      <w:lvlText w:val="•"/>
      <w:lvlJc w:val="left"/>
      <w:pPr>
        <w:ind w:left="1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DCC26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5E146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C80AD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5A7B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9E8E6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226FF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20345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9E350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7650D5"/>
    <w:multiLevelType w:val="hybridMultilevel"/>
    <w:tmpl w:val="7040A340"/>
    <w:lvl w:ilvl="0" w:tplc="69F8DD4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BECC9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705AD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E813A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4A734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2C344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A69A5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CA44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386C9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B1"/>
    <w:rsid w:val="000426B1"/>
    <w:rsid w:val="00106C9F"/>
    <w:rsid w:val="0023519A"/>
    <w:rsid w:val="00254F67"/>
    <w:rsid w:val="00282AB0"/>
    <w:rsid w:val="002C74FA"/>
    <w:rsid w:val="0032425A"/>
    <w:rsid w:val="003A2946"/>
    <w:rsid w:val="0041145A"/>
    <w:rsid w:val="00856B25"/>
    <w:rsid w:val="00992B04"/>
    <w:rsid w:val="00AB7EB3"/>
    <w:rsid w:val="00AC1B59"/>
    <w:rsid w:val="00C11800"/>
    <w:rsid w:val="00CE6094"/>
    <w:rsid w:val="00D84F09"/>
    <w:rsid w:val="00EC3AC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4DE7C"/>
  <w15:chartTrackingRefBased/>
  <w15:docId w15:val="{903AF16B-D066-4AA6-9559-0CC9FBB1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426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426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426B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426B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426B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426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26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26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26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426B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426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426B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426B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426B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426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26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26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26B1"/>
    <w:rPr>
      <w:rFonts w:eastAsiaTheme="majorEastAsia" w:cstheme="majorBidi"/>
      <w:color w:val="272727" w:themeColor="text1" w:themeTint="D8"/>
    </w:rPr>
  </w:style>
  <w:style w:type="paragraph" w:styleId="Titre">
    <w:name w:val="Title"/>
    <w:basedOn w:val="Normal"/>
    <w:next w:val="Normal"/>
    <w:link w:val="TitreCar"/>
    <w:uiPriority w:val="10"/>
    <w:qFormat/>
    <w:rsid w:val="00042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26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26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26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26B1"/>
    <w:pPr>
      <w:spacing w:before="160"/>
      <w:jc w:val="center"/>
    </w:pPr>
    <w:rPr>
      <w:i/>
      <w:iCs/>
      <w:color w:val="404040" w:themeColor="text1" w:themeTint="BF"/>
    </w:rPr>
  </w:style>
  <w:style w:type="character" w:customStyle="1" w:styleId="CitationCar">
    <w:name w:val="Citation Car"/>
    <w:basedOn w:val="Policepardfaut"/>
    <w:link w:val="Citation"/>
    <w:uiPriority w:val="29"/>
    <w:rsid w:val="000426B1"/>
    <w:rPr>
      <w:i/>
      <w:iCs/>
      <w:color w:val="404040" w:themeColor="text1" w:themeTint="BF"/>
    </w:rPr>
  </w:style>
  <w:style w:type="paragraph" w:styleId="Paragraphedeliste">
    <w:name w:val="List Paragraph"/>
    <w:basedOn w:val="Normal"/>
    <w:uiPriority w:val="34"/>
    <w:qFormat/>
    <w:rsid w:val="000426B1"/>
    <w:pPr>
      <w:ind w:left="720"/>
      <w:contextualSpacing/>
    </w:pPr>
  </w:style>
  <w:style w:type="character" w:styleId="Emphaseintense">
    <w:name w:val="Intense Emphasis"/>
    <w:basedOn w:val="Policepardfaut"/>
    <w:uiPriority w:val="21"/>
    <w:qFormat/>
    <w:rsid w:val="000426B1"/>
    <w:rPr>
      <w:i/>
      <w:iCs/>
      <w:color w:val="2F5496" w:themeColor="accent1" w:themeShade="BF"/>
    </w:rPr>
  </w:style>
  <w:style w:type="paragraph" w:styleId="Citationintense">
    <w:name w:val="Intense Quote"/>
    <w:basedOn w:val="Normal"/>
    <w:next w:val="Normal"/>
    <w:link w:val="CitationintenseCar"/>
    <w:uiPriority w:val="30"/>
    <w:qFormat/>
    <w:rsid w:val="00042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426B1"/>
    <w:rPr>
      <w:i/>
      <w:iCs/>
      <w:color w:val="2F5496" w:themeColor="accent1" w:themeShade="BF"/>
    </w:rPr>
  </w:style>
  <w:style w:type="character" w:styleId="Rfrenceintense">
    <w:name w:val="Intense Reference"/>
    <w:basedOn w:val="Policepardfaut"/>
    <w:uiPriority w:val="32"/>
    <w:qFormat/>
    <w:rsid w:val="000426B1"/>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0426B1"/>
    <w:pPr>
      <w:spacing w:after="0" w:line="240" w:lineRule="auto"/>
    </w:pPr>
    <w:rPr>
      <w:rFonts w:ascii="Calibri" w:eastAsia="Calibri" w:hAnsi="Calibri" w:cs="Calibri"/>
      <w:color w:val="000000"/>
      <w:sz w:val="20"/>
      <w:szCs w:val="20"/>
    </w:rPr>
  </w:style>
  <w:style w:type="character" w:customStyle="1" w:styleId="NotedebasdepageCar">
    <w:name w:val="Note de bas de page Car"/>
    <w:basedOn w:val="Policepardfaut"/>
    <w:link w:val="Notedebasdepage"/>
    <w:uiPriority w:val="99"/>
    <w:semiHidden/>
    <w:rsid w:val="000426B1"/>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0426B1"/>
    <w:rPr>
      <w:vertAlign w:val="superscript"/>
    </w:rPr>
  </w:style>
  <w:style w:type="character" w:styleId="Lienhypertexte">
    <w:name w:val="Hyperlink"/>
    <w:basedOn w:val="Policepardfaut"/>
    <w:uiPriority w:val="99"/>
    <w:unhideWhenUsed/>
    <w:rsid w:val="000426B1"/>
    <w:rPr>
      <w:color w:val="0563C1" w:themeColor="hyperlink"/>
      <w:u w:val="single"/>
    </w:rPr>
  </w:style>
  <w:style w:type="paragraph" w:styleId="En-tte">
    <w:name w:val="header"/>
    <w:basedOn w:val="Normal"/>
    <w:link w:val="En-tteCar"/>
    <w:uiPriority w:val="99"/>
    <w:unhideWhenUsed/>
    <w:rsid w:val="000426B1"/>
    <w:pPr>
      <w:tabs>
        <w:tab w:val="center" w:pos="4536"/>
        <w:tab w:val="right" w:pos="9072"/>
      </w:tabs>
      <w:spacing w:after="0" w:line="240" w:lineRule="auto"/>
    </w:pPr>
  </w:style>
  <w:style w:type="character" w:customStyle="1" w:styleId="En-tteCar">
    <w:name w:val="En-tête Car"/>
    <w:basedOn w:val="Policepardfaut"/>
    <w:link w:val="En-tte"/>
    <w:uiPriority w:val="99"/>
    <w:rsid w:val="000426B1"/>
  </w:style>
  <w:style w:type="paragraph" w:styleId="Pieddepage">
    <w:name w:val="footer"/>
    <w:basedOn w:val="Normal"/>
    <w:link w:val="PieddepageCar"/>
    <w:uiPriority w:val="99"/>
    <w:unhideWhenUsed/>
    <w:rsid w:val="00042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gcaditog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E96E5-B74F-43BC-A15A-5133CB63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1505</Words>
  <Characters>8279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Narcisse KOTIKO</dc:creator>
  <cp:keywords/>
  <dc:description/>
  <cp:lastModifiedBy>CADI-TOGO</cp:lastModifiedBy>
  <cp:revision>10</cp:revision>
  <cp:lastPrinted>2025-05-21T09:33:00Z</cp:lastPrinted>
  <dcterms:created xsi:type="dcterms:W3CDTF">2025-05-20T16:29:00Z</dcterms:created>
  <dcterms:modified xsi:type="dcterms:W3CDTF">2025-05-21T09:44:00Z</dcterms:modified>
</cp:coreProperties>
</file>